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28"/>
          <w:szCs w:val="28"/>
          <w:rtl w:val="0"/>
        </w:rPr>
        <w:t xml:space="preserve">EXIT TICKET / HOMEWORK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28"/>
          <w:szCs w:val="28"/>
          <w:rtl w:val="0"/>
        </w:rPr>
        <w:t xml:space="preserve">WEAVING INFO FROM THE INTERVIEWS INTO OUR ARTICLE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Part 1: Insert a useful quote/answer from your interviewee</w:t>
      </w:r>
    </w:p>
    <w:tbl>
      <w:tblPr>
        <w:tblStyle w:val="Table1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Part 2: Now provide more information from the interview by answering the following questions.</w:t>
      </w:r>
    </w:p>
    <w:tbl>
      <w:tblPr>
        <w:tblStyle w:val="Table2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What is the name of the person you interviewed? 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What is the person’s background or occupation? Or is he or she a student? Describe it.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When and/or where did the interview take place? Describe the time and place.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How is the person you interviewed connected to your topic? Describe the (possible) connection.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How did the person react to your question? Describe the person’s facial expression, body language, how he or she spoke and conveyed the answer.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Part 3: Put it together. Insert the quote/answer from your interview, but also weave in the additional information so that you tell a story.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3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headerReference r:id="rId5" w:type="default"/>
      <w:pgSz w:h="15840" w:w="12240"/>
      <w:pgMar w:bottom="1080" w:top="1080" w:left="1440" w:right="1440"/>
      <w:pgNumType w:start="1"/>
      <w:cols w:equalWidth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contextualSpacing w:val="0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contextualSpacing w:val="0"/>
    </w:pPr>
    <w:r w:rsidDel="00000000" w:rsidR="00000000" w:rsidRPr="00000000">
      <w:rPr>
        <w:rtl w:val="0"/>
      </w:rPr>
      <w:t xml:space="preserve">Name _____________________________________ Class ____________ Date _____________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3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/Relationships>
</file>